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Zestawienie parametrów techniczno-użytkowych przedmiotu zamówienia</w:t>
      </w:r>
    </w:p>
    <w:p w:rsidR="00000000" w:rsidDel="00000000" w:rsidP="00000000" w:rsidRDefault="00000000" w:rsidRPr="00000000" w14:paraId="00000004">
      <w:pPr>
        <w:tabs>
          <w:tab w:val="left" w:leader="none" w:pos="4080"/>
        </w:tabs>
        <w:jc w:val="center"/>
        <w:rPr>
          <w:rFonts w:ascii="Arial Narrow" w:cs="Arial Narrow" w:eastAsia="Arial Narrow" w:hAnsi="Arial Narrow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URZĄDZENIE DO DEKONTAMINACJI POMIESZCZEŃ NADTLENKIEM WODORU </w:t>
      </w:r>
      <w:r w:rsidDel="00000000" w:rsidR="00000000" w:rsidRPr="00000000">
        <w:rPr>
          <w:b w:val="1"/>
          <w:rtl w:val="0"/>
        </w:rPr>
        <w:t xml:space="preserve">- 1 szt.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7.0" w:type="dxa"/>
        <w:jc w:val="left"/>
        <w:tblInd w:w="-998.0" w:type="dxa"/>
        <w:tblLayout w:type="fixed"/>
        <w:tblLook w:val="0400"/>
      </w:tblPr>
      <w:tblGrid>
        <w:gridCol w:w="960"/>
        <w:gridCol w:w="1918"/>
        <w:gridCol w:w="4605"/>
        <w:gridCol w:w="591"/>
        <w:gridCol w:w="591"/>
        <w:gridCol w:w="1281"/>
        <w:gridCol w:w="1281"/>
        <w:gridCol w:w="160"/>
        <w:tblGridChange w:id="0">
          <w:tblGrid>
            <w:gridCol w:w="960"/>
            <w:gridCol w:w="1918"/>
            <w:gridCol w:w="4605"/>
            <w:gridCol w:w="591"/>
            <w:gridCol w:w="591"/>
            <w:gridCol w:w="1281"/>
            <w:gridCol w:w="1281"/>
            <w:gridCol w:w="160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Producent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Nazwa-model/typ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Kraj pochodzenia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b w:val="1"/>
                <w:color w:val="000000"/>
                <w:sz w:val="20"/>
                <w:szCs w:val="20"/>
                <w:rtl w:val="0"/>
              </w:rPr>
              <w:t xml:space="preserve">L.p.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b w:val="1"/>
                <w:color w:val="000000"/>
                <w:sz w:val="20"/>
                <w:szCs w:val="20"/>
                <w:rtl w:val="0"/>
              </w:rPr>
              <w:t xml:space="preserve">Warunki wymagane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b w:val="1"/>
                <w:color w:val="000000"/>
                <w:sz w:val="20"/>
                <w:szCs w:val="20"/>
                <w:rtl w:val="0"/>
              </w:rPr>
              <w:t xml:space="preserve">Parametry konieczne do spełnienia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b w:val="1"/>
                <w:color w:val="000000"/>
                <w:sz w:val="20"/>
                <w:szCs w:val="20"/>
                <w:rtl w:val="0"/>
              </w:rPr>
              <w:t xml:space="preserve">Parametry oferowanego </w:t>
              <w:br w:type="textWrapping"/>
              <w:t xml:space="preserve">urządzenia </w:t>
              <w:br w:type="textWrapping"/>
              <w:t xml:space="preserve">(podać nr strony w ofercie)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hnschrift SemiBold" w:cs="Bahnschrift SemiBold" w:eastAsia="Bahnschrift SemiBold" w:hAnsi="Bahnschrift SemiBol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hnschrift SemiBold" w:cs="Bahnschrift SemiBold" w:eastAsia="Bahnschrift SemiBold" w:hAnsi="Bahnschrift SemiBol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hnschrift SemiBold" w:cs="Bahnschrift SemiBold" w:eastAsia="Bahnschrift SemiBold" w:hAnsi="Bahnschrift SemiBol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hnschrift SemiBold" w:cs="Bahnschrift SemiBold" w:eastAsia="Bahnschrift SemiBold" w:hAnsi="Bahnschrift SemiBol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Urządzenie do biodekontaminacji pomieszczeń, wykorzystujące technologię VHP - suchego gazu nadtlenku wodoru. </w:t>
              <w:br w:type="textWrapping"/>
              <w:t xml:space="preserve">Nie dopuszcza się urządzeń wykorzystujących "mokrą" metodę dekontaminacji w oparciu o działanie mikrokondensacji oraz urządzeń wykorzystujących aerozolową postać nadtlenku wodoru tzw. fumigację.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Urządzenie fabrycznie nowe.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Urządzenie mobilne, posiadające 4 kółka, w tym 2 przednie skrętne, 2 tylne z możliwością blokady.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Maksymalne wymiary urządzenia: 540 x 1010 x 1100 mm (szer. x dł. x wys.)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Obsługa urządzenia przy pomocy ekranu dotykowego </w:t>
              <w:br w:type="textWrapping"/>
              <w:t xml:space="preserve">o przekątnej nie mniejszej niż 5''.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Możliwość zdalnego sterowania systemem biodekontaminacji przez bezprzewodowe połączenie z urządzeniem jak smartphone, tablet i komputer.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Do wyboru co najmniej 4 różne programy biodekontaminacji.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Co najmniej 2 programy zróżnicowane z uwagi na stopień redukcji spor, w tym jeden z nich pozwalający na redukcję 12log (99,9999999999%)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Co najmniej 2 programy zróżnicowane z uwagi na stężenie nadtlenku wodoru, w tym jeden pozwalający na osiągnięcie stężenia na poziomie 400 PPM.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System umożliwiający opóźnienie automatycznego startu cyklu </w:t>
              <w:br w:type="textWrapping"/>
              <w:t xml:space="preserve">w zakresie 1-60 minut po wyborze i zatwierdzeniu programu przez operatora.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Urządzenie połączone z zewnętrznym trójparametrycznym systemem monitorującym temperaturę, wilgotność względną </w:t>
              <w:br w:type="textWrapping"/>
              <w:t xml:space="preserve">i stężenie czynnika biodekontaminującego.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Wbudowana wydajna pompa perystaltyczna pozwalająca na iniekcję wodoru z prędkością 5-35g/min.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Prędkość iniekcji nadtlenku wodoru automatycznie dostosowana do mierzonych na bieżąco warunków otoczenia: temperatury, wilgotności względnej i stężenia nadtlenku wodoru.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Zabezpieczenie przed kondensacją gazowej postaci nadtlenku wodoru poprzez monitorowanie warunków otoczenia i dostosowanie prędkości dozowania nadtlenku wodoru.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Możliwość biodekontaminacji pomieszczeń o kubaturze 560 m</w:t>
            </w: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Istnieje możliwość połączenia przez Ethernet do 10 urządzeń w system pozwalający na jednoczesną dekontaminację pomieszczeń o łącznej kubaturze nie mniejszej niż 5000 m</w:t>
            </w: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Szeroka kompatybilność materiałowa. Możliwość biodekontaminacji pomieszczeń wraz z wyposażeniem, </w:t>
              <w:br w:type="textWrapping"/>
              <w:t xml:space="preserve">w tym również sprzętem elektronicznym.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Możliwość biodekontaminacji systemów wentylacji, w tym również filtrów HEPA.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Możliwość przeprowadzeniu procesu odpowiadającego poziomowi zapewnienia sterylności SAL = 10</w:t>
            </w: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vertAlign w:val="superscript"/>
                <w:rtl w:val="0"/>
              </w:rPr>
              <w:t xml:space="preserve">-6 </w:t>
            </w: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tj. wartość redukcji spor SLR=12log</w:t>
            </w: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Urządzenie połączone z zewnętrznym aeratorem przyspieszającym rozkład czynnika sterylizującego.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Sygnalizacja świetlna na urządzeniu informująca czy stężenie nadtlenku wodoru w otoczeniu spadło po procesie do bezpiecznego poziomu. Żółte oświetlenie gaśnie w przypadku stężenia nadtlenku wodoru &lt; 1ppm.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Wewnątrz urządzenia wbudowany rezerwuar, do którego pobierany jest nadtlenek wodoru z kartridża. Pojemność rezerwuaru nie mniejsza niż 4,5 l.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Co najmniej trzy poziomy dostępu obsługi urządzenia - poziom dostępu operatora, kierownika i serwisu. Wszystkie poziomy dostępu zabezpieczone kodem.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Możliwość ustawiania z poziomu dostępu kierownika punktów końcowych cyklu,  oraz modyfikacji opcji systemowych.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Urządzenie wyposażone w port USB do zapisu dokumentacji </w:t>
              <w:br w:type="textWrapping"/>
              <w:t xml:space="preserve">z przebiegu cyklu w wersji elektronicznej.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W obudowie urządzenia wyznaczone miejsce z przyłączem do umieszczenia i podłączenia kartridża z czynnikiem bieodekontaminującym.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Wbudowany czytnik RFiD elimiujący ryzyko podłączenia niewłaściwego czynnika biodekontaminującego. </w:t>
              <w:br w:type="textWrapping"/>
              <w:t xml:space="preserve">Możliwość podłączenia tylko dedykowanego, nieprzeterminowanego pojemnika z czynnikiem biodekontaminującym.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Konstrukcja urządzenia wykonana ze stali nierdzewnej </w:t>
              <w:br w:type="textWrapping"/>
              <w:t xml:space="preserve">i aluminium.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Obudowa urządzenia wykonana z trwałego i lekkiego tworzywa ABS.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Waga urządzenia nie większa niż 65 kg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Zasilanie jednostki biodekontaminującej: 230V, 50/60 HZ, 7,5A, 1N; </w:t>
              <w:br w:type="textWrapping"/>
              <w:t xml:space="preserve">Zasilanie aeratora: 230V, 50/60 HZ, 3A, 1N; </w:t>
              <w:br w:type="textWrapping"/>
              <w:t xml:space="preserve">System monitorujący nie wymagający własnego zasilania, podłączony bezpośrednio do jednostki biodekontaminującej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Czynnik biodekontaminujący - wodny roztwór nadtlenku wodoru </w:t>
              <w:br w:type="textWrapping"/>
              <w:t xml:space="preserve">o stężeniu nie mniejszym niż 35%.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Istnieje możliwość połączenia przez Ethernet do 10 urządzeń w system pozwalający na jednoczesną dekontaminację pomieszczeń o łącznej kubaturze nie mniejszej niż 5000 m3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Brak niebezpiecznych pozostałości po procesie dekontaminacji, czynnik rozpada się na cząsteczki pary wodnej i tlenu.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Na wyposażeniu urządzenia:</w:t>
              <w:br w:type="textWrapping"/>
              <w:t xml:space="preserve">- Trójparametryczny system kontrolujący temperaturę, wilgotność oraz stężenie nadtlenku wodoru w dekontaminowanym pomieszczeniu,                                        </w:t>
              <w:br w:type="textWrapping"/>
              <w:t xml:space="preserve">- Przenośny, wysoce wydajny aerator stosowany do katalizowania nadtlenku wodoru, w celu skrócenia całego cyklu dekontaminacji i gwarancji bezpieczeństwa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b w:val="1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b w:val="1"/>
                <w:color w:val="000000"/>
                <w:rtl w:val="0"/>
              </w:rPr>
              <w:t xml:space="preserve">Warunki gwarancji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Gwarancja 24 miesięcy obejmująca wykonanie przeglądów okresowych (bez materiałów eksploatacyjnych podlegających normalnemu zużyciu) z częstotliwością zgodnie </w:t>
              <w:br w:type="textWrapping"/>
              <w:t xml:space="preserve">z zaleceniami producenta.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Czas reakcji na zgłoszoną awarię  (przyjęcie zgłoszenia) max. 2 dni robocze w okresie gwarancyjnym i pogwarancyjnym. Usunięcie usterki w terminie max. do  7 dni, lub 14 dni w przypadku konieczności ściągnięcia części z zagranicy.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Autoryzowany  serwis gwarancyjny i pogwarancyjny na terenie kraju. Dane kontaktowe.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TAK, opisać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Dostępność części zamiennych przez okres co najmniej 10 lat.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Instrukcja obsługi dostarczona wraz z urządzeniem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Szkolenie personelu medycznego  w zakresie obsługi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Bahnschrift SemiBold" w:cs="Bahnschrift SemiBold" w:eastAsia="Bahnschrift SemiBold" w:hAnsi="Bahnschrift SemiBold"/>
                <w:color w:val="000000"/>
              </w:rPr>
            </w:pPr>
            <w:r w:rsidDel="00000000" w:rsidR="00000000" w:rsidRPr="00000000">
              <w:rPr>
                <w:rFonts w:ascii="Bahnschrift SemiBold" w:cs="Bahnschrift SemiBold" w:eastAsia="Bahnschrift SemiBold" w:hAnsi="Bahnschrift SemiBold"/>
                <w:color w:val="00000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Założenie paszportów technicznych dla dostarczonego urządzenia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Bahnschrift Light SemiCondensed" w:cs="Bahnschrift Light SemiCondensed" w:eastAsia="Bahnschrift Light SemiCondensed" w:hAnsi="Bahnschrift Light SemiCondensed"/>
                <w:color w:val="000000"/>
              </w:rPr>
            </w:pPr>
            <w:r w:rsidDel="00000000" w:rsidR="00000000" w:rsidRPr="00000000">
              <w:rPr>
                <w:rFonts w:ascii="Bahnschrift Light SemiCondensed" w:cs="Bahnschrift Light SemiCondensed" w:eastAsia="Bahnschrift Light SemiCondensed" w:hAnsi="Bahnschrift Light SemiCondensed"/>
                <w:color w:val="000000"/>
                <w:rtl w:val="0"/>
              </w:rPr>
              <w:t xml:space="preserve">ff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07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hnschrift Light SemiCondensed"/>
  <w:font w:name="Bahnschrift Semi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Szpital Specjalistyczny PRO-FAMILIA</w:t>
    </w:r>
    <w:r w:rsidDel="00000000" w:rsidR="00000000" w:rsidRPr="00000000">
      <w:rPr>
        <w:color w:val="000000"/>
        <w:sz w:val="18"/>
        <w:szCs w:val="18"/>
        <w:rtl w:val="0"/>
      </w:rPr>
      <w:t xml:space="preserve"> Tomasz Łoziński  Spółka Komandytowa</w:t>
    </w:r>
  </w:p>
  <w:p w:rsidR="00000000" w:rsidDel="00000000" w:rsidP="00000000" w:rsidRDefault="00000000" w:rsidRPr="00000000" w14:paraId="000001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624"/>
      </w:tabs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ul. Witolda 6B, 35-302 Rzeszów; NIP: 8133561368; REGON:180357490; </w:t>
    </w:r>
  </w:p>
  <w:p w:rsidR="00000000" w:rsidDel="00000000" w:rsidP="00000000" w:rsidRDefault="00000000" w:rsidRPr="00000000" w14:paraId="000001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61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tel.: 017 773 57 40, fax.: 017 773 57 42;  e-mail: </w:t>
    </w:r>
    <w:hyperlink r:id="rId1">
      <w:r w:rsidDel="00000000" w:rsidR="00000000" w:rsidRPr="00000000">
        <w:rPr>
          <w:color w:val="000000"/>
          <w:sz w:val="14"/>
          <w:szCs w:val="14"/>
          <w:u w:val="single"/>
          <w:rtl w:val="0"/>
        </w:rPr>
        <w:t xml:space="preserve">sekretariat@pro-familia.pl</w:t>
      </w:r>
    </w:hyperlink>
    <w:r w:rsidDel="00000000" w:rsidR="00000000" w:rsidRPr="00000000">
      <w:rPr>
        <w:color w:val="000000"/>
        <w:sz w:val="14"/>
        <w:szCs w:val="14"/>
        <w:rtl w:val="0"/>
      </w:rPr>
      <w:t xml:space="preserve">;  www.pro-familia.pl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635" distT="0" distL="114300" distR="114300" hidden="0" layoutInCell="1" locked="0" relativeHeight="0" simplePos="0">
          <wp:simplePos x="0" y="0"/>
          <wp:positionH relativeFrom="margin">
            <wp:posOffset>150495</wp:posOffset>
          </wp:positionH>
          <wp:positionV relativeFrom="margin">
            <wp:posOffset>-122552</wp:posOffset>
          </wp:positionV>
          <wp:extent cx="5760720" cy="761365"/>
          <wp:effectExtent b="0" l="0" r="0" t="0"/>
          <wp:wrapSquare wrapText="bothSides" distB="635" distT="0" distL="114300" distR="114300"/>
          <wp:docPr descr="Logotyp Norway grants, logotyp PARP Grupa PFR" id="5" name="image2.jpg"/>
          <a:graphic>
            <a:graphicData uri="http://schemas.openxmlformats.org/drawingml/2006/picture">
              <pic:pic>
                <pic:nvPicPr>
                  <pic:cNvPr descr="Logotyp Norway grants, logotyp PARP Grupa PFR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61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2136775</wp:posOffset>
          </wp:positionH>
          <wp:positionV relativeFrom="paragraph">
            <wp:posOffset>224155</wp:posOffset>
          </wp:positionV>
          <wp:extent cx="1435735" cy="34163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735" cy="3416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kapitzlist">
    <w:name w:val="List Paragraph"/>
    <w:basedOn w:val="Normalny"/>
    <w:uiPriority w:val="34"/>
    <w:qFormat w:val="1"/>
    <w:rsid w:val="00FD1EEF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locked w:val="1"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 w:val="1"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locked w:val="1"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 w:val="1"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D338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D3383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1652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1652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16529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064ACA"/>
    <w:pPr>
      <w:spacing w:after="0" w:line="240" w:lineRule="auto"/>
    </w:pPr>
  </w:style>
  <w:style w:type="character" w:styleId="Domylnaczcionkaakapitu1" w:customStyle="1">
    <w:name w:val="Domyślna czcionka akapitu1"/>
    <w:rsid w:val="00642F78"/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VVM3uIQ5BLtAxkG0+TA0t9r6zA==">CgMxLjAyCGguZ2pkZ3hzOAByITFxTFFSYWxsdW8yaXdGeXlxcERTV01Ta05XZ2FTRTlFMQ==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2023-07-28T09:39:00Z</dcterms:created>
  <dc:creator>Tomek</dc:creator>
</cp:coreProperties>
</file>